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CAD2" w14:textId="77777777" w:rsidR="00B544ED" w:rsidRPr="00B544ED" w:rsidRDefault="00B544ED" w:rsidP="00B544ED">
      <w:pPr>
        <w:rPr>
          <w:rFonts w:ascii="Tahoma" w:hAnsi="Tahoma" w:cs="Tahoma"/>
          <w:sz w:val="13"/>
          <w:szCs w:val="13"/>
        </w:rPr>
      </w:pPr>
    </w:p>
    <w:p w14:paraId="6F7BD820" w14:textId="2F929488" w:rsidR="005C3C7C" w:rsidRDefault="00DC3DD0" w:rsidP="00CE2302">
      <w:pPr>
        <w:spacing w:after="0" w:line="288" w:lineRule="auto"/>
        <w:ind w:left="5664" w:firstLine="708"/>
        <w:rPr>
          <w:rFonts w:ascii="Tahoma" w:eastAsia="Times New Roman" w:hAnsi="Tahoma" w:cs="Tahoma"/>
          <w:sz w:val="20"/>
          <w:szCs w:val="20"/>
        </w:rPr>
      </w:pPr>
      <w:r>
        <w:rPr>
          <w:rFonts w:ascii="Tahoma" w:hAnsi="Tahoma"/>
          <w:sz w:val="20"/>
        </w:rPr>
        <w:t>NUMERO:</w:t>
      </w:r>
      <w:r>
        <w:rPr>
          <w:rFonts w:ascii="Tahoma" w:hAnsi="Tahoma"/>
          <w:sz w:val="20"/>
        </w:rPr>
        <w:tab/>
        <w:t>040- 0001/ 2026</w:t>
      </w:r>
    </w:p>
    <w:p w14:paraId="4A930318" w14:textId="0948642D" w:rsidR="00DC3DD0" w:rsidRDefault="00DC3DD0" w:rsidP="00CE2302">
      <w:pPr>
        <w:spacing w:after="0" w:line="288" w:lineRule="auto"/>
        <w:ind w:left="5664" w:firstLine="708"/>
        <w:rPr>
          <w:rFonts w:ascii="Tahoma" w:eastAsia="Times New Roman" w:hAnsi="Tahoma" w:cs="Tahoma"/>
          <w:sz w:val="20"/>
          <w:szCs w:val="20"/>
        </w:rPr>
      </w:pPr>
      <w:r>
        <w:rPr>
          <w:rFonts w:ascii="Tahoma" w:hAnsi="Tahoma"/>
          <w:sz w:val="20"/>
        </w:rPr>
        <w:t>DATA:</w:t>
      </w:r>
      <w:r>
        <w:rPr>
          <w:rFonts w:ascii="Tahoma" w:hAnsi="Tahoma"/>
          <w:sz w:val="20"/>
        </w:rPr>
        <w:tab/>
      </w:r>
      <w:r w:rsidR="00CE2302"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>19. 1. 2026</w:t>
      </w:r>
    </w:p>
    <w:p w14:paraId="6546217A" w14:textId="334CC333" w:rsidR="00F12892" w:rsidRDefault="00F12892" w:rsidP="00990D8A">
      <w:pPr>
        <w:spacing w:after="0" w:line="288" w:lineRule="auto"/>
        <w:jc w:val="both"/>
        <w:rPr>
          <w:rFonts w:ascii="Tahoma" w:eastAsia="Calibri" w:hAnsi="Tahoma" w:cs="Tahoma"/>
          <w:b/>
          <w:bCs/>
          <w:sz w:val="20"/>
          <w:szCs w:val="20"/>
        </w:rPr>
      </w:pPr>
    </w:p>
    <w:p w14:paraId="467FB112" w14:textId="7CA4E1DB" w:rsidR="00D438A2" w:rsidRPr="00D438A2" w:rsidRDefault="00D438A2" w:rsidP="00D438A2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/>
          <w:sz w:val="20"/>
        </w:rPr>
        <w:t xml:space="preserve">Ai sensi del terzo comma dell'articolo 8 della Legge sulle campagne elettorali e referendarie (Gazzetta ufficiale RS, 41/07, 103/07 – </w:t>
      </w:r>
      <w:proofErr w:type="spellStart"/>
      <w:r>
        <w:rPr>
          <w:rFonts w:ascii="Tahoma" w:hAnsi="Tahoma"/>
          <w:sz w:val="20"/>
        </w:rPr>
        <w:t>ZPolS</w:t>
      </w:r>
      <w:proofErr w:type="spellEnd"/>
      <w:r>
        <w:rPr>
          <w:rFonts w:ascii="Tahoma" w:hAnsi="Tahoma"/>
          <w:sz w:val="20"/>
        </w:rPr>
        <w:t>-D, 11/11, 28/11 – decisione CC e 98/13) e in base l’articolo 32 dello Statuto del Comune di Ancarano (Gazzetta ufficiale RS no. 17/2015 e 10/2022) il sindaco del Comune di Ancarano adottato la seguente</w:t>
      </w:r>
    </w:p>
    <w:p w14:paraId="2BB8DD47" w14:textId="77777777" w:rsidR="00D438A2" w:rsidRPr="00D438A2" w:rsidRDefault="00D438A2" w:rsidP="00D438A2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6E0DA92F" w14:textId="77777777" w:rsidR="00D438A2" w:rsidRPr="00D438A2" w:rsidRDefault="00D438A2" w:rsidP="00D438A2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1D20595A" w14:textId="77777777" w:rsidR="00D438A2" w:rsidRPr="00D438A2" w:rsidRDefault="00D438A2" w:rsidP="00D438A2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hAnsi="Tahoma"/>
          <w:b/>
          <w:sz w:val="20"/>
        </w:rPr>
        <w:t>DELIBERA</w:t>
      </w:r>
    </w:p>
    <w:p w14:paraId="7D108D1C" w14:textId="3A8B3D6E" w:rsidR="00D438A2" w:rsidRDefault="00D438A2" w:rsidP="00D438A2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  <w:r>
        <w:rPr>
          <w:rFonts w:ascii="Tahoma" w:hAnsi="Tahoma"/>
          <w:b/>
          <w:sz w:val="20"/>
        </w:rPr>
        <w:t xml:space="preserve">in riferimento all'affissione di manifesti durante la campagna elettorale per le elezioni ordinarie dei deputati alla Camera di Stato </w:t>
      </w:r>
    </w:p>
    <w:p w14:paraId="12B8A1B6" w14:textId="77777777" w:rsidR="00D438A2" w:rsidRPr="00D438A2" w:rsidRDefault="00D438A2" w:rsidP="00D438A2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7F026CF2" w14:textId="77777777" w:rsidR="00D438A2" w:rsidRPr="00D438A2" w:rsidRDefault="00D438A2" w:rsidP="00D438A2">
      <w:pPr>
        <w:spacing w:after="0" w:line="240" w:lineRule="auto"/>
        <w:jc w:val="center"/>
        <w:rPr>
          <w:rFonts w:ascii="Tahoma" w:eastAsia="Calibri" w:hAnsi="Tahoma" w:cs="Tahoma"/>
          <w:b/>
          <w:sz w:val="20"/>
          <w:szCs w:val="20"/>
        </w:rPr>
      </w:pPr>
    </w:p>
    <w:p w14:paraId="1B1A70D5" w14:textId="6876243B" w:rsidR="00D438A2" w:rsidRPr="00D438A2" w:rsidRDefault="00632551" w:rsidP="00632551">
      <w:pPr>
        <w:spacing w:after="0" w:line="240" w:lineRule="auto"/>
        <w:contextualSpacing/>
        <w:jc w:val="center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/>
          <w:sz w:val="20"/>
        </w:rPr>
        <w:t xml:space="preserve">        a</w:t>
      </w:r>
      <w:r w:rsidR="00D438A2">
        <w:rPr>
          <w:rFonts w:ascii="Tahoma" w:hAnsi="Tahoma"/>
          <w:sz w:val="20"/>
        </w:rPr>
        <w:t>rticolo</w:t>
      </w:r>
      <w:r>
        <w:rPr>
          <w:rFonts w:ascii="Tahoma" w:hAnsi="Tahoma"/>
          <w:sz w:val="20"/>
        </w:rPr>
        <w:t xml:space="preserve"> 1</w:t>
      </w:r>
    </w:p>
    <w:p w14:paraId="60676B07" w14:textId="77777777" w:rsidR="00D438A2" w:rsidRPr="00D438A2" w:rsidRDefault="00D438A2" w:rsidP="00D438A2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0863AA32" w14:textId="0E257BBE" w:rsidR="00D438A2" w:rsidRPr="00D438A2" w:rsidRDefault="00D438A2" w:rsidP="00DC354C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/>
          <w:sz w:val="20"/>
        </w:rPr>
        <w:t>Al fine di garantire uno spazio gratuito per l'affissione di manifesti a parità di condizioni per tutti gli organizzatori della campagna elettorale (di seguito “organizzatori della campagna elettorale”) per le elezioni dei membri alla Camera di Stato che si terranno il 22</w:t>
      </w:r>
      <w:r w:rsidR="00160768">
        <w:rPr>
          <w:rFonts w:ascii="Tahoma" w:hAnsi="Tahoma"/>
          <w:sz w:val="20"/>
        </w:rPr>
        <w:t xml:space="preserve"> marzo </w:t>
      </w:r>
      <w:r>
        <w:rPr>
          <w:rFonts w:ascii="Tahoma" w:hAnsi="Tahoma"/>
          <w:sz w:val="20"/>
        </w:rPr>
        <w:t xml:space="preserve">2026, viene stabilita la seguente ubicazione dello spazio pubblicitario: </w:t>
      </w:r>
      <w:r>
        <w:rPr>
          <w:rFonts w:ascii="Tahoma" w:hAnsi="Tahoma"/>
          <w:i/>
          <w:sz w:val="20"/>
        </w:rPr>
        <w:t>Parcheggio nei pressi della sede del Comune di Ancarano, Strada dell’Adriatico 66, 6280 Ancarano (ovvero lotto n. 1318/2, c.c. Oltra)</w:t>
      </w:r>
      <w:r>
        <w:rPr>
          <w:rFonts w:ascii="Tahoma" w:hAnsi="Tahoma"/>
          <w:sz w:val="20"/>
        </w:rPr>
        <w:t xml:space="preserve">. </w:t>
      </w:r>
    </w:p>
    <w:p w14:paraId="7284FF1A" w14:textId="77777777" w:rsidR="00D438A2" w:rsidRPr="00D438A2" w:rsidRDefault="00D438A2" w:rsidP="00DC354C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33B7876" w14:textId="77777777" w:rsidR="00D438A2" w:rsidRPr="00D438A2" w:rsidRDefault="00D438A2" w:rsidP="00DC354C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/>
          <w:sz w:val="20"/>
        </w:rPr>
        <w:t>Si predispongono spazi pubblicitari doppi per la pubblicazione bilingue.</w:t>
      </w:r>
    </w:p>
    <w:p w14:paraId="4B8935FC" w14:textId="77777777" w:rsidR="00D438A2" w:rsidRPr="00D438A2" w:rsidRDefault="00D438A2" w:rsidP="00D438A2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69E8ECC5" w14:textId="2722C1E4" w:rsidR="00D438A2" w:rsidRPr="00D438A2" w:rsidRDefault="00D438A2" w:rsidP="00DC354C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/>
          <w:sz w:val="20"/>
        </w:rPr>
        <w:t>L'autorità competente per lo spazio in questione redige uno schizzo schematico della disposizione degli spazi pubblicitari e lo consegna all'organizzatore della campagna elettorale al momento dell'assegnazione degli spazi pubblicitari o al momento dell'invio del verbale dell'assegnazione alle parti interessate.</w:t>
      </w:r>
    </w:p>
    <w:p w14:paraId="27D034CF" w14:textId="77777777" w:rsidR="00D438A2" w:rsidRPr="00D438A2" w:rsidRDefault="00D438A2" w:rsidP="00DC354C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986AA9C" w14:textId="5A9E67F4" w:rsidR="00D438A2" w:rsidRPr="00D438A2" w:rsidRDefault="00D438A2" w:rsidP="00D438A2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/>
          <w:sz w:val="20"/>
        </w:rPr>
        <w:t xml:space="preserve">Gli spazi pubblicitari di cui al presente punto saranno preparati e messi a disposizione degli organizzatori della campagna elettorale il giorno 2 </w:t>
      </w:r>
      <w:r w:rsidR="00A65137">
        <w:rPr>
          <w:rFonts w:ascii="Tahoma" w:hAnsi="Tahoma"/>
          <w:sz w:val="20"/>
        </w:rPr>
        <w:t xml:space="preserve">marzo </w:t>
      </w:r>
      <w:r>
        <w:rPr>
          <w:rFonts w:ascii="Tahoma" w:hAnsi="Tahoma"/>
          <w:sz w:val="20"/>
        </w:rPr>
        <w:t>2026.</w:t>
      </w:r>
    </w:p>
    <w:p w14:paraId="3E4C1277" w14:textId="77777777" w:rsidR="00D438A2" w:rsidRPr="00D438A2" w:rsidRDefault="00D438A2" w:rsidP="00D438A2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076D395F" w14:textId="562C16F9" w:rsidR="00D438A2" w:rsidRPr="00D438A2" w:rsidRDefault="00632551" w:rsidP="00632551">
      <w:pPr>
        <w:spacing w:after="0" w:line="240" w:lineRule="auto"/>
        <w:ind w:left="720"/>
        <w:contextualSpacing/>
        <w:jc w:val="center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/>
          <w:sz w:val="20"/>
        </w:rPr>
        <w:t>a</w:t>
      </w:r>
      <w:r w:rsidR="00D438A2">
        <w:rPr>
          <w:rFonts w:ascii="Tahoma" w:hAnsi="Tahoma"/>
          <w:sz w:val="20"/>
        </w:rPr>
        <w:t>rticolo</w:t>
      </w:r>
      <w:r>
        <w:rPr>
          <w:rFonts w:ascii="Tahoma" w:hAnsi="Tahoma"/>
          <w:sz w:val="20"/>
        </w:rPr>
        <w:t xml:space="preserve"> 2</w:t>
      </w:r>
    </w:p>
    <w:p w14:paraId="043EB8B3" w14:textId="77777777" w:rsidR="00D438A2" w:rsidRPr="00D438A2" w:rsidRDefault="00D438A2" w:rsidP="00D438A2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75404D91" w14:textId="1C47DE9A" w:rsidR="00D438A2" w:rsidRPr="00D438A2" w:rsidRDefault="00D438A2" w:rsidP="00D438A2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/>
          <w:sz w:val="20"/>
        </w:rPr>
        <w:t xml:space="preserve">Durante il sorteggio ogni organizzatore della campagna elettorale riceve due spazi pubblicitari (per la pubblicazione bilingue). </w:t>
      </w:r>
    </w:p>
    <w:p w14:paraId="3EECA9C3" w14:textId="77777777" w:rsidR="00D438A2" w:rsidRPr="00D438A2" w:rsidRDefault="00D438A2" w:rsidP="00D438A2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83981DF" w14:textId="2F52335E" w:rsidR="00D438A2" w:rsidRPr="00D438A2" w:rsidRDefault="00D438A2" w:rsidP="00D438A2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/>
          <w:sz w:val="20"/>
        </w:rPr>
        <w:t>Gli organizzatori della campagna elettorale affiggono personalmente i manifesti negli spazi pubblicitari di cui al punto 1.</w:t>
      </w:r>
    </w:p>
    <w:p w14:paraId="71380E4B" w14:textId="77777777" w:rsidR="00D438A2" w:rsidRPr="00D438A2" w:rsidRDefault="00D438A2" w:rsidP="00D438A2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/>
          <w:sz w:val="20"/>
        </w:rPr>
        <w:t xml:space="preserve"> </w:t>
      </w:r>
    </w:p>
    <w:p w14:paraId="0E893BA0" w14:textId="57841B22" w:rsidR="00D438A2" w:rsidRPr="00D438A2" w:rsidRDefault="00D438A2" w:rsidP="00D438A2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/>
          <w:sz w:val="20"/>
        </w:rPr>
        <w:t>Le persone che affiggono direttamente i manifesti devono avere con sé una copia del verbale dei sorteggi per l'assegnazione degli spazi pubblicitari e l'autorizzazione dell'organizzatore della campagna elettorale.  Per l'affissione dei manifesti devono essere utilizzate colle idrosolubili.</w:t>
      </w:r>
    </w:p>
    <w:p w14:paraId="41C11DA6" w14:textId="77777777" w:rsidR="00D438A2" w:rsidRPr="00D438A2" w:rsidRDefault="00D438A2" w:rsidP="00D438A2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289B4FCF" w14:textId="310ED7D9" w:rsidR="00D438A2" w:rsidRPr="00D438A2" w:rsidRDefault="00632551" w:rsidP="00632551">
      <w:pPr>
        <w:spacing w:after="0" w:line="240" w:lineRule="auto"/>
        <w:ind w:left="720"/>
        <w:contextualSpacing/>
        <w:jc w:val="center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/>
          <w:sz w:val="20"/>
        </w:rPr>
        <w:t>a</w:t>
      </w:r>
      <w:r w:rsidR="00D438A2">
        <w:rPr>
          <w:rFonts w:ascii="Tahoma" w:hAnsi="Tahoma"/>
          <w:sz w:val="20"/>
        </w:rPr>
        <w:t>rticolo</w:t>
      </w:r>
      <w:r>
        <w:rPr>
          <w:rFonts w:ascii="Tahoma" w:hAnsi="Tahoma"/>
          <w:sz w:val="20"/>
        </w:rPr>
        <w:t xml:space="preserve"> 3</w:t>
      </w:r>
    </w:p>
    <w:p w14:paraId="69517E41" w14:textId="77777777" w:rsidR="00D438A2" w:rsidRPr="00D438A2" w:rsidRDefault="00D438A2" w:rsidP="00D438A2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6657D72" w14:textId="499CFD3B" w:rsidR="00D438A2" w:rsidRDefault="00D438A2" w:rsidP="00D438A2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/>
          <w:sz w:val="20"/>
        </w:rPr>
        <w:t xml:space="preserve">Gli organizzatori della campagna elettorale non possono affiggere i manifesti per la campagna elettorale negli spazi per l'affissione secondo le condizioni generali che sono in gestione della società </w:t>
      </w:r>
      <w:proofErr w:type="spellStart"/>
      <w:r>
        <w:rPr>
          <w:rFonts w:ascii="Tahoma" w:hAnsi="Tahoma"/>
          <w:sz w:val="20"/>
        </w:rPr>
        <w:t>Marjetica</w:t>
      </w:r>
      <w:proofErr w:type="spellEnd"/>
      <w:r>
        <w:rPr>
          <w:rFonts w:ascii="Tahoma" w:hAnsi="Tahoma"/>
          <w:sz w:val="20"/>
        </w:rPr>
        <w:t xml:space="preserve"> Koper </w:t>
      </w:r>
      <w:r w:rsidR="003C7046">
        <w:rPr>
          <w:rFonts w:ascii="Tahoma" w:hAnsi="Tahoma"/>
          <w:sz w:val="20"/>
        </w:rPr>
        <w:t>s</w:t>
      </w:r>
      <w:r>
        <w:rPr>
          <w:rFonts w:ascii="Tahoma" w:hAnsi="Tahoma"/>
          <w:sz w:val="20"/>
        </w:rPr>
        <w:t>.r.l.</w:t>
      </w:r>
    </w:p>
    <w:p w14:paraId="45B06B58" w14:textId="77777777" w:rsidR="00270B46" w:rsidRPr="00D438A2" w:rsidRDefault="00270B46" w:rsidP="00D438A2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2E8A6597" w14:textId="39AA9A27" w:rsidR="00D438A2" w:rsidRPr="00D438A2" w:rsidRDefault="008420F3" w:rsidP="008420F3">
      <w:pPr>
        <w:spacing w:after="0" w:line="240" w:lineRule="auto"/>
        <w:ind w:left="720"/>
        <w:contextualSpacing/>
        <w:jc w:val="center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/>
          <w:sz w:val="20"/>
        </w:rPr>
        <w:t>a</w:t>
      </w:r>
      <w:r w:rsidR="00D438A2">
        <w:rPr>
          <w:rFonts w:ascii="Tahoma" w:hAnsi="Tahoma"/>
          <w:sz w:val="20"/>
        </w:rPr>
        <w:t>rticolo</w:t>
      </w:r>
      <w:r w:rsidR="00632551">
        <w:rPr>
          <w:rFonts w:ascii="Tahoma" w:hAnsi="Tahoma"/>
          <w:sz w:val="20"/>
        </w:rPr>
        <w:t xml:space="preserve"> 4</w:t>
      </w:r>
    </w:p>
    <w:p w14:paraId="0E683058" w14:textId="77777777" w:rsidR="00D438A2" w:rsidRPr="00D438A2" w:rsidRDefault="00D438A2" w:rsidP="00D438A2">
      <w:pPr>
        <w:spacing w:after="0" w:line="240" w:lineRule="auto"/>
        <w:jc w:val="center"/>
        <w:rPr>
          <w:rFonts w:ascii="Tahoma" w:eastAsia="Calibri" w:hAnsi="Tahoma" w:cs="Tahoma"/>
          <w:sz w:val="20"/>
          <w:szCs w:val="20"/>
        </w:rPr>
      </w:pPr>
    </w:p>
    <w:p w14:paraId="4E135551" w14:textId="09652650" w:rsidR="00D438A2" w:rsidRPr="00D438A2" w:rsidRDefault="00D438A2" w:rsidP="00C6464B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/>
          <w:sz w:val="20"/>
        </w:rPr>
        <w:t>Il sorteggio degli spazi gratuiti per l'affissione dei manifesti avrà luogo mercoledì 25</w:t>
      </w:r>
      <w:r w:rsidR="00513F33">
        <w:rPr>
          <w:rFonts w:ascii="Tahoma" w:hAnsi="Tahoma"/>
          <w:sz w:val="20"/>
        </w:rPr>
        <w:t xml:space="preserve"> febbraio</w:t>
      </w:r>
      <w:r>
        <w:rPr>
          <w:rFonts w:ascii="Tahoma" w:hAnsi="Tahoma"/>
          <w:sz w:val="20"/>
        </w:rPr>
        <w:t xml:space="preserve"> 2026, con inizio alle ore 10, nella sala riunioni dei locali del Comune di Ancarano all'indirizzo: Via Ivan Regent 2, 6280 Ankaran – Ancarano.</w:t>
      </w:r>
    </w:p>
    <w:p w14:paraId="56BCEADA" w14:textId="77777777" w:rsidR="00D438A2" w:rsidRDefault="00D438A2" w:rsidP="00D438A2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07DA0178" w14:textId="77777777" w:rsidR="00513F33" w:rsidRPr="00D438A2" w:rsidRDefault="00513F33" w:rsidP="00D438A2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288A92A6" w14:textId="21C47DC3" w:rsidR="00D438A2" w:rsidRPr="00D438A2" w:rsidRDefault="00D438A2" w:rsidP="003368A2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/>
          <w:sz w:val="20"/>
        </w:rPr>
        <w:lastRenderedPageBreak/>
        <w:t xml:space="preserve">Il sorteggio sarà effettuato esclusivamente per le esigenze degli organizzatori della campagna elettorale, i cui rappresentanti saranno presenti di persona al sorteggio e consegneranno all'organizzatore del sorteggio una delega scritta dell'organizzatore e la prova dell'apertura del conto corrente bancario richiesto dall'articolo 16 della Legge sulle campagne elettorali e referendarie (Gazzetta ufficiale RS, n. 41/07, 103/07 – </w:t>
      </w:r>
      <w:proofErr w:type="spellStart"/>
      <w:r>
        <w:rPr>
          <w:rFonts w:ascii="Tahoma" w:hAnsi="Tahoma"/>
          <w:sz w:val="20"/>
        </w:rPr>
        <w:t>ZPolS</w:t>
      </w:r>
      <w:proofErr w:type="spellEnd"/>
      <w:r>
        <w:rPr>
          <w:rFonts w:ascii="Tahoma" w:hAnsi="Tahoma"/>
          <w:sz w:val="20"/>
        </w:rPr>
        <w:t>-D, 11/11, 28/11 – decisione CC, 98/13).</w:t>
      </w:r>
    </w:p>
    <w:p w14:paraId="6728C1E5" w14:textId="77777777" w:rsidR="00D438A2" w:rsidRPr="00D438A2" w:rsidRDefault="00D438A2" w:rsidP="00D438A2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21A354FF" w14:textId="77777777" w:rsidR="00D438A2" w:rsidRPr="00D438A2" w:rsidRDefault="00D438A2" w:rsidP="00986CB4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/>
          <w:sz w:val="20"/>
        </w:rPr>
        <w:t>Il sorteggio sarà verbalizzato. La copia autenticata del verbale del sorteggio dei luoghi di affissione funge da certificato di disponibilità dello spazio per l'affissione.</w:t>
      </w:r>
    </w:p>
    <w:p w14:paraId="46B986D9" w14:textId="77777777" w:rsidR="00D438A2" w:rsidRPr="00D438A2" w:rsidRDefault="00D438A2" w:rsidP="00D438A2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36C3923E" w14:textId="690A6B4E" w:rsidR="00D438A2" w:rsidRPr="00D438A2" w:rsidRDefault="008420F3" w:rsidP="008420F3">
      <w:pPr>
        <w:spacing w:after="0" w:line="240" w:lineRule="auto"/>
        <w:ind w:left="720"/>
        <w:contextualSpacing/>
        <w:jc w:val="center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/>
          <w:sz w:val="20"/>
        </w:rPr>
        <w:t>a</w:t>
      </w:r>
      <w:r w:rsidR="00D438A2">
        <w:rPr>
          <w:rFonts w:ascii="Tahoma" w:hAnsi="Tahoma"/>
          <w:sz w:val="20"/>
        </w:rPr>
        <w:t>rticolo</w:t>
      </w:r>
      <w:r>
        <w:rPr>
          <w:rFonts w:ascii="Tahoma" w:hAnsi="Tahoma"/>
          <w:sz w:val="20"/>
        </w:rPr>
        <w:t xml:space="preserve"> 5</w:t>
      </w:r>
    </w:p>
    <w:p w14:paraId="07CE16D7" w14:textId="77777777" w:rsidR="00D438A2" w:rsidRPr="00D438A2" w:rsidRDefault="00D438A2" w:rsidP="00D438A2">
      <w:pPr>
        <w:spacing w:after="0" w:line="240" w:lineRule="auto"/>
        <w:ind w:left="720"/>
        <w:contextualSpacing/>
        <w:rPr>
          <w:rFonts w:ascii="Tahoma" w:eastAsia="Calibri" w:hAnsi="Tahoma" w:cs="Tahoma"/>
          <w:sz w:val="20"/>
          <w:szCs w:val="20"/>
        </w:rPr>
      </w:pPr>
    </w:p>
    <w:p w14:paraId="084EE012" w14:textId="5BA6EA35" w:rsidR="00D438A2" w:rsidRPr="00D438A2" w:rsidRDefault="00D438A2" w:rsidP="00D438A2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/>
          <w:sz w:val="20"/>
        </w:rPr>
        <w:t>L'organizzatore della campagna elettorale non può cedere ad altri organizzatori gli spazi per l'affissione acquisiti per sé ai sensi del punto 1.</w:t>
      </w:r>
    </w:p>
    <w:p w14:paraId="54F6BB39" w14:textId="77777777" w:rsidR="00D438A2" w:rsidRPr="00D438A2" w:rsidRDefault="00D438A2" w:rsidP="00D438A2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18796BC0" w14:textId="1AFF9C7D" w:rsidR="00D438A2" w:rsidRPr="00D438A2" w:rsidRDefault="008420F3" w:rsidP="008420F3">
      <w:pPr>
        <w:spacing w:after="0" w:line="240" w:lineRule="auto"/>
        <w:ind w:left="720"/>
        <w:contextualSpacing/>
        <w:jc w:val="center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/>
          <w:sz w:val="20"/>
        </w:rPr>
        <w:t>a</w:t>
      </w:r>
      <w:r w:rsidR="00D438A2">
        <w:rPr>
          <w:rFonts w:ascii="Tahoma" w:hAnsi="Tahoma"/>
          <w:sz w:val="20"/>
        </w:rPr>
        <w:t>rticolo</w:t>
      </w:r>
      <w:r>
        <w:rPr>
          <w:rFonts w:ascii="Tahoma" w:hAnsi="Tahoma"/>
          <w:sz w:val="20"/>
        </w:rPr>
        <w:t xml:space="preserve"> 6</w:t>
      </w:r>
    </w:p>
    <w:p w14:paraId="052769C3" w14:textId="77777777" w:rsidR="00D438A2" w:rsidRPr="00D438A2" w:rsidRDefault="00D438A2" w:rsidP="00D438A2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54111C7B" w14:textId="5297D8F0" w:rsidR="00D438A2" w:rsidRPr="00D438A2" w:rsidRDefault="00D438A2" w:rsidP="00D438A2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>
        <w:t>La delibera viene pubblica sul sito internet del Comune di Ancarano (pubblicazioni ufficiali): www.obcina-ankaran.si</w:t>
      </w:r>
    </w:p>
    <w:p w14:paraId="2F7E6ED4" w14:textId="77777777" w:rsidR="00D438A2" w:rsidRPr="00D438A2" w:rsidRDefault="00D438A2" w:rsidP="00D438A2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206E942F" w14:textId="226257F4" w:rsidR="00D438A2" w:rsidRPr="00D438A2" w:rsidRDefault="008420F3" w:rsidP="008420F3">
      <w:pPr>
        <w:spacing w:after="0" w:line="240" w:lineRule="auto"/>
        <w:ind w:left="720"/>
        <w:contextualSpacing/>
        <w:jc w:val="center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/>
          <w:sz w:val="20"/>
        </w:rPr>
        <w:t>a</w:t>
      </w:r>
      <w:r w:rsidR="00D438A2">
        <w:rPr>
          <w:rFonts w:ascii="Tahoma" w:hAnsi="Tahoma"/>
          <w:sz w:val="20"/>
        </w:rPr>
        <w:t>rticolo</w:t>
      </w:r>
      <w:r>
        <w:rPr>
          <w:rFonts w:ascii="Tahoma" w:hAnsi="Tahoma"/>
          <w:sz w:val="20"/>
        </w:rPr>
        <w:t xml:space="preserve"> 7</w:t>
      </w:r>
    </w:p>
    <w:p w14:paraId="76950F4C" w14:textId="77777777" w:rsidR="00B04548" w:rsidRDefault="00B04548" w:rsidP="00D438A2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</w:p>
    <w:p w14:paraId="4D378865" w14:textId="4133AD88" w:rsidR="00D438A2" w:rsidRPr="00D438A2" w:rsidRDefault="00D438A2" w:rsidP="00D438A2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hAnsi="Tahoma"/>
          <w:sz w:val="20"/>
        </w:rPr>
        <w:t>La presente delibera entra in vigore con effetto immediato.</w:t>
      </w:r>
    </w:p>
    <w:p w14:paraId="1148E674" w14:textId="095F1B99" w:rsidR="00B36121" w:rsidRPr="007A2ED9" w:rsidRDefault="00B36121" w:rsidP="007A2ED9">
      <w:pPr>
        <w:spacing w:after="0" w:line="288" w:lineRule="auto"/>
        <w:ind w:left="360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751" w:type="dxa"/>
        <w:tblLook w:val="04A0" w:firstRow="1" w:lastRow="0" w:firstColumn="1" w:lastColumn="0" w:noHBand="0" w:noVBand="1"/>
      </w:tblPr>
      <w:tblGrid>
        <w:gridCol w:w="2361"/>
        <w:gridCol w:w="2360"/>
        <w:gridCol w:w="2360"/>
        <w:gridCol w:w="2670"/>
      </w:tblGrid>
      <w:tr w:rsidR="007A2ED9" w:rsidRPr="00DC198F" w14:paraId="76D862CB" w14:textId="77777777" w:rsidTr="007A2ED9">
        <w:tc>
          <w:tcPr>
            <w:tcW w:w="2361" w:type="dxa"/>
          </w:tcPr>
          <w:p w14:paraId="31CA298C" w14:textId="77777777" w:rsidR="007A2ED9" w:rsidRPr="00DC198F" w:rsidRDefault="007A2ED9" w:rsidP="00B91ADD">
            <w:pPr>
              <w:tabs>
                <w:tab w:val="left" w:pos="360"/>
                <w:tab w:val="left" w:pos="2835"/>
              </w:tabs>
              <w:spacing w:after="0" w:line="288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360" w:type="dxa"/>
          </w:tcPr>
          <w:p w14:paraId="1D1B4D40" w14:textId="1533E831" w:rsidR="007A2ED9" w:rsidRPr="00DC198F" w:rsidRDefault="007A2ED9" w:rsidP="00B91ADD">
            <w:pPr>
              <w:tabs>
                <w:tab w:val="left" w:pos="360"/>
                <w:tab w:val="left" w:pos="2835"/>
              </w:tabs>
              <w:spacing w:after="0" w:line="288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0" w:type="dxa"/>
          </w:tcPr>
          <w:p w14:paraId="687BF5A2" w14:textId="35FF5446" w:rsidR="007A2ED9" w:rsidRPr="00DC198F" w:rsidRDefault="007A2ED9" w:rsidP="00B91ADD">
            <w:pPr>
              <w:tabs>
                <w:tab w:val="left" w:pos="360"/>
                <w:tab w:val="left" w:pos="2835"/>
              </w:tabs>
              <w:spacing w:after="0" w:line="288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670" w:type="dxa"/>
          </w:tcPr>
          <w:p w14:paraId="768B2908" w14:textId="3A77094C" w:rsidR="007A2ED9" w:rsidRDefault="007A2ED9" w:rsidP="00B91ADD">
            <w:pPr>
              <w:tabs>
                <w:tab w:val="left" w:pos="360"/>
                <w:tab w:val="left" w:pos="2835"/>
              </w:tabs>
              <w:spacing w:after="0" w:line="288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4F5E8327" w14:textId="77777777" w:rsidR="007A2ED9" w:rsidRPr="00DC198F" w:rsidRDefault="007A2ED9" w:rsidP="00B91ADD">
            <w:pPr>
              <w:tabs>
                <w:tab w:val="left" w:pos="360"/>
                <w:tab w:val="left" w:pos="2835"/>
              </w:tabs>
              <w:spacing w:after="0" w:line="288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3B2084C" w14:textId="77777777" w:rsidR="007A2ED9" w:rsidRPr="00D3660D" w:rsidRDefault="007A2ED9" w:rsidP="00B91ADD">
            <w:pPr>
              <w:tabs>
                <w:tab w:val="left" w:pos="360"/>
                <w:tab w:val="left" w:pos="2835"/>
              </w:tabs>
              <w:spacing w:after="0" w:line="288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Comune di Ancarano</w:t>
            </w:r>
          </w:p>
          <w:p w14:paraId="6FF53721" w14:textId="77777777" w:rsidR="007A2ED9" w:rsidRPr="00DC198F" w:rsidRDefault="007A2ED9" w:rsidP="00B91ADD">
            <w:pPr>
              <w:tabs>
                <w:tab w:val="left" w:pos="360"/>
                <w:tab w:val="left" w:pos="2835"/>
              </w:tabs>
              <w:spacing w:after="0" w:line="288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14:paraId="2D50DFEE" w14:textId="77777777" w:rsidR="007A2ED9" w:rsidRPr="00DC198F" w:rsidRDefault="007A2ED9" w:rsidP="00B91ADD">
            <w:pPr>
              <w:tabs>
                <w:tab w:val="left" w:pos="360"/>
                <w:tab w:val="left" w:pos="2835"/>
              </w:tabs>
              <w:spacing w:after="0" w:line="288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>Gregor Strmčnik</w:t>
            </w:r>
          </w:p>
          <w:p w14:paraId="12AB7984" w14:textId="4BEFACF1" w:rsidR="007A2ED9" w:rsidRPr="00DC198F" w:rsidRDefault="007A2ED9" w:rsidP="00B91ADD">
            <w:pPr>
              <w:tabs>
                <w:tab w:val="left" w:pos="360"/>
                <w:tab w:val="left" w:pos="2835"/>
              </w:tabs>
              <w:spacing w:after="0" w:line="288" w:lineRule="auto"/>
              <w:jc w:val="both"/>
              <w:rPr>
                <w:rFonts w:ascii="Tahoma" w:eastAsia="SimSun" w:hAnsi="Tahoma" w:cs="Tahoma"/>
                <w:sz w:val="14"/>
                <w:szCs w:val="14"/>
              </w:rPr>
            </w:pPr>
            <w:r>
              <w:rPr>
                <w:rFonts w:ascii="Tahoma" w:hAnsi="Tahoma"/>
                <w:sz w:val="14"/>
              </w:rPr>
              <w:t>SINDACO</w:t>
            </w:r>
          </w:p>
          <w:p w14:paraId="57617E70" w14:textId="62735FB7" w:rsidR="007A2ED9" w:rsidRPr="00DC198F" w:rsidRDefault="007A2ED9" w:rsidP="00B91ADD">
            <w:pPr>
              <w:tabs>
                <w:tab w:val="left" w:pos="360"/>
                <w:tab w:val="left" w:pos="2835"/>
              </w:tabs>
              <w:spacing w:after="0" w:line="288" w:lineRule="auto"/>
              <w:jc w:val="both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14:paraId="523C8573" w14:textId="77777777" w:rsidR="007A2ED9" w:rsidRPr="00DC198F" w:rsidRDefault="007A2ED9" w:rsidP="00B91ADD">
            <w:pPr>
              <w:tabs>
                <w:tab w:val="left" w:pos="360"/>
                <w:tab w:val="left" w:pos="2835"/>
              </w:tabs>
              <w:spacing w:after="0" w:line="288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</w:tbl>
    <w:p w14:paraId="67C8D91E" w14:textId="176EDC2C" w:rsidR="00DC3DD0" w:rsidRDefault="00DC3DD0" w:rsidP="00953826">
      <w:pPr>
        <w:spacing w:after="0" w:line="288" w:lineRule="auto"/>
        <w:rPr>
          <w:rFonts w:ascii="Tahoma" w:eastAsia="Calibri" w:hAnsi="Tahoma" w:cs="Tahoma"/>
          <w:b/>
          <w:sz w:val="20"/>
          <w:szCs w:val="20"/>
        </w:rPr>
      </w:pPr>
    </w:p>
    <w:p w14:paraId="477EBEEA" w14:textId="5DBBCB0F" w:rsidR="00AB1C05" w:rsidRDefault="00AB1C05" w:rsidP="0040085D">
      <w:pPr>
        <w:pStyle w:val="BasicParagraph"/>
        <w:tabs>
          <w:tab w:val="left" w:pos="851"/>
          <w:tab w:val="left" w:pos="5660"/>
        </w:tabs>
        <w:rPr>
          <w:rFonts w:ascii="Tahoma" w:hAnsi="Tahoma" w:cs="Tahoma"/>
          <w:sz w:val="13"/>
          <w:szCs w:val="13"/>
          <w:lang w:val="sl-SI"/>
        </w:rPr>
      </w:pPr>
    </w:p>
    <w:p w14:paraId="7BDC5C32" w14:textId="08681FA5" w:rsidR="00B36121" w:rsidRDefault="00B36121" w:rsidP="00B36121">
      <w:pPr>
        <w:pStyle w:val="BasicParagraph"/>
        <w:tabs>
          <w:tab w:val="left" w:pos="851"/>
          <w:tab w:val="left" w:pos="5660"/>
        </w:tabs>
        <w:rPr>
          <w:rFonts w:ascii="Tahoma" w:hAnsi="Tahoma" w:cs="Tahoma"/>
          <w:sz w:val="13"/>
          <w:szCs w:val="13"/>
          <w:lang w:val="sl-SI"/>
        </w:rPr>
      </w:pPr>
    </w:p>
    <w:p w14:paraId="1008ABB6" w14:textId="0FA1998A" w:rsidR="00B36121" w:rsidRDefault="00B36121" w:rsidP="00B36121">
      <w:pPr>
        <w:pStyle w:val="BasicParagraph"/>
        <w:tabs>
          <w:tab w:val="left" w:pos="851"/>
          <w:tab w:val="left" w:pos="5660"/>
        </w:tabs>
        <w:rPr>
          <w:rFonts w:ascii="Tahoma" w:hAnsi="Tahoma" w:cs="Tahoma"/>
          <w:sz w:val="13"/>
          <w:szCs w:val="13"/>
          <w:lang w:val="sl-SI"/>
        </w:rPr>
      </w:pPr>
    </w:p>
    <w:p w14:paraId="602E294C" w14:textId="77777777" w:rsidR="006559AF" w:rsidRDefault="006559AF" w:rsidP="00B36121">
      <w:pPr>
        <w:pStyle w:val="BasicParagraph"/>
        <w:tabs>
          <w:tab w:val="left" w:pos="851"/>
          <w:tab w:val="left" w:pos="5660"/>
        </w:tabs>
        <w:rPr>
          <w:rFonts w:ascii="Tahoma" w:hAnsi="Tahoma" w:cs="Tahoma"/>
          <w:sz w:val="13"/>
          <w:szCs w:val="13"/>
          <w:lang w:val="sl-SI"/>
        </w:rPr>
      </w:pPr>
    </w:p>
    <w:p w14:paraId="3CD09830" w14:textId="77777777" w:rsidR="006559AF" w:rsidRDefault="006559AF" w:rsidP="00B36121">
      <w:pPr>
        <w:pStyle w:val="BasicParagraph"/>
        <w:tabs>
          <w:tab w:val="left" w:pos="851"/>
          <w:tab w:val="left" w:pos="5660"/>
        </w:tabs>
        <w:rPr>
          <w:rFonts w:ascii="Tahoma" w:hAnsi="Tahoma" w:cs="Tahoma"/>
          <w:sz w:val="13"/>
          <w:szCs w:val="13"/>
          <w:lang w:val="sl-SI"/>
        </w:rPr>
      </w:pPr>
    </w:p>
    <w:p w14:paraId="6BD60B47" w14:textId="5E36A834" w:rsidR="00DC198F" w:rsidRPr="00A83D2A" w:rsidRDefault="0047147D" w:rsidP="00B36121">
      <w:pPr>
        <w:pStyle w:val="BasicParagraph"/>
        <w:tabs>
          <w:tab w:val="left" w:pos="851"/>
          <w:tab w:val="left" w:pos="5660"/>
        </w:tabs>
        <w:rPr>
          <w:rFonts w:ascii="Tahoma" w:hAnsi="Tahoma" w:cs="Tahoma"/>
          <w:sz w:val="13"/>
          <w:szCs w:val="13"/>
        </w:rPr>
      </w:pPr>
      <w:r>
        <w:rPr>
          <w:rFonts w:ascii="Tahoma" w:hAnsi="Tahoma"/>
          <w:sz w:val="13"/>
        </w:rPr>
        <w:t>Inviare:</w:t>
      </w:r>
      <w:r>
        <w:rPr>
          <w:rFonts w:ascii="Tahoma" w:hAnsi="Tahoma"/>
          <w:sz w:val="13"/>
        </w:rPr>
        <w:tab/>
        <w:t xml:space="preserve">- Azienda pubblica </w:t>
      </w:r>
      <w:proofErr w:type="spellStart"/>
      <w:r>
        <w:rPr>
          <w:rFonts w:ascii="Tahoma" w:hAnsi="Tahoma"/>
          <w:sz w:val="13"/>
        </w:rPr>
        <w:t>Marjetica</w:t>
      </w:r>
      <w:proofErr w:type="spellEnd"/>
      <w:r>
        <w:rPr>
          <w:rFonts w:ascii="Tahoma" w:hAnsi="Tahoma"/>
          <w:sz w:val="13"/>
        </w:rPr>
        <w:t xml:space="preserve"> Koper S.r.l. - Per conoscenza via posta elettronica;</w:t>
      </w:r>
    </w:p>
    <w:p w14:paraId="3AB75D84" w14:textId="14309615" w:rsidR="00F40174" w:rsidRPr="007B69D8" w:rsidRDefault="00DC198F" w:rsidP="007B69D8">
      <w:pPr>
        <w:pStyle w:val="BasicParagraph"/>
        <w:tabs>
          <w:tab w:val="left" w:pos="851"/>
          <w:tab w:val="left" w:pos="5660"/>
        </w:tabs>
        <w:rPr>
          <w:rFonts w:ascii="Tahoma" w:hAnsi="Tahoma" w:cs="Tahoma"/>
          <w:sz w:val="13"/>
          <w:szCs w:val="13"/>
        </w:rPr>
      </w:pPr>
      <w:r>
        <w:rPr>
          <w:rFonts w:ascii="Tahoma" w:hAnsi="Tahoma"/>
          <w:sz w:val="13"/>
        </w:rPr>
        <w:tab/>
        <w:t>- Archivio.</w:t>
      </w:r>
    </w:p>
    <w:sectPr w:rsidR="00F40174" w:rsidRPr="007B69D8" w:rsidSect="00CD39D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97" w:right="737" w:bottom="340" w:left="1418" w:header="454" w:footer="34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D0C4A" w14:textId="77777777" w:rsidR="0077745F" w:rsidRDefault="0077745F" w:rsidP="0053257C">
      <w:pPr>
        <w:spacing w:after="0" w:line="240" w:lineRule="auto"/>
      </w:pPr>
      <w:r>
        <w:separator/>
      </w:r>
    </w:p>
  </w:endnote>
  <w:endnote w:type="continuationSeparator" w:id="0">
    <w:p w14:paraId="058FBE29" w14:textId="77777777" w:rsidR="0077745F" w:rsidRDefault="0077745F" w:rsidP="00532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6CAC" w14:textId="77777777" w:rsidR="00FF68C4" w:rsidRDefault="00FF68C4" w:rsidP="00FF68C4">
    <w:pPr>
      <w:pStyle w:val="Noga"/>
      <w:ind w:left="567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EB53" w14:textId="77777777" w:rsidR="00FF68C4" w:rsidRDefault="00772A80" w:rsidP="00CD39D1">
    <w:pPr>
      <w:pStyle w:val="BasicParagraph"/>
      <w:spacing w:line="252" w:lineRule="auto"/>
      <w:jc w:val="center"/>
      <w:rPr>
        <w:rFonts w:ascii="Tahoma" w:hAnsi="Tahoma" w:cs="Tahoma"/>
        <w:sz w:val="14"/>
        <w:szCs w:val="14"/>
      </w:rPr>
    </w:pPr>
    <w:r w:rsidRPr="000005F6">
      <w:rPr>
        <w:rFonts w:ascii="Tahoma" w:hAnsi="Tahoma" w:cs="Tahoma"/>
        <w:sz w:val="14"/>
      </w:rPr>
      <w:fldChar w:fldCharType="begin"/>
    </w:r>
    <w:r w:rsidRPr="000005F6">
      <w:rPr>
        <w:rFonts w:ascii="Tahoma" w:hAnsi="Tahoma" w:cs="Tahoma"/>
        <w:sz w:val="14"/>
      </w:rPr>
      <w:instrText>PAGE   \* MERGEFORMAT</w:instrText>
    </w:r>
    <w:r w:rsidRPr="000005F6">
      <w:rPr>
        <w:rFonts w:ascii="Tahoma" w:hAnsi="Tahoma" w:cs="Tahoma"/>
        <w:sz w:val="14"/>
      </w:rPr>
      <w:fldChar w:fldCharType="separate"/>
    </w:r>
    <w:r w:rsidR="00206C3E">
      <w:rPr>
        <w:rFonts w:ascii="Tahoma" w:hAnsi="Tahoma" w:cs="Tahoma"/>
        <w:sz w:val="14"/>
      </w:rPr>
      <w:t>2</w:t>
    </w:r>
    <w:r w:rsidRPr="000005F6">
      <w:rPr>
        <w:rFonts w:ascii="Tahoma" w:hAnsi="Tahoma" w:cs="Tahoma"/>
        <w:sz w:val="14"/>
      </w:rPr>
      <w:fldChar w:fldCharType="end"/>
    </w:r>
  </w:p>
  <w:p w14:paraId="3D89C218" w14:textId="77777777" w:rsidR="00772A80" w:rsidRPr="00772A80" w:rsidRDefault="00772A80" w:rsidP="00772A80">
    <w:pPr>
      <w:pStyle w:val="BasicParagraph"/>
      <w:spacing w:line="252" w:lineRule="auto"/>
      <w:ind w:left="7797"/>
      <w:rPr>
        <w:rFonts w:ascii="Tahoma" w:hAnsi="Tahoma" w:cs="Tahom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E29B" w14:textId="77777777" w:rsidR="00A10140" w:rsidRPr="00A10140" w:rsidRDefault="00A10140" w:rsidP="00B544ED">
    <w:pPr>
      <w:autoSpaceDE w:val="0"/>
      <w:autoSpaceDN w:val="0"/>
      <w:adjustRightInd w:val="0"/>
      <w:spacing w:after="0" w:line="288" w:lineRule="auto"/>
      <w:ind w:left="-1418" w:right="-737"/>
      <w:jc w:val="center"/>
      <w:textAlignment w:val="center"/>
      <w:rPr>
        <w:rFonts w:ascii="Tahoma" w:hAnsi="Tahoma" w:cs="Tahoma"/>
        <w:color w:val="000000"/>
        <w:spacing w:val="1"/>
        <w:sz w:val="14"/>
        <w:szCs w:val="14"/>
      </w:rPr>
    </w:pPr>
    <w:r>
      <w:rPr>
        <w:rFonts w:ascii="Tahoma" w:hAnsi="Tahoma"/>
        <w:color w:val="000000"/>
        <w:sz w:val="14"/>
      </w:rPr>
      <w:t>T: +386 (5) 66 53 001</w:t>
    </w:r>
    <w:r>
      <w:rPr>
        <w:rFonts w:ascii="Tahoma" w:hAnsi="Tahoma"/>
        <w:color w:val="AEAAAA" w:themeColor="background2" w:themeShade="BF"/>
        <w:sz w:val="14"/>
      </w:rPr>
      <w:t xml:space="preserve"> ׀</w:t>
    </w:r>
    <w:r>
      <w:rPr>
        <w:rFonts w:ascii="Tahoma" w:hAnsi="Tahoma"/>
        <w:color w:val="AEAAAA" w:themeColor="background2" w:themeShade="BF"/>
        <w:sz w:val="15"/>
      </w:rPr>
      <w:t xml:space="preserve"> </w:t>
    </w:r>
    <w:r>
      <w:rPr>
        <w:rFonts w:ascii="Tahoma" w:hAnsi="Tahoma"/>
        <w:color w:val="000000"/>
        <w:sz w:val="14"/>
      </w:rPr>
      <w:t>E: kab@občina-ankaran.si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09932" w14:textId="77777777" w:rsidR="0077745F" w:rsidRDefault="0077745F" w:rsidP="0053257C">
      <w:pPr>
        <w:spacing w:after="0" w:line="240" w:lineRule="auto"/>
      </w:pPr>
      <w:r>
        <w:separator/>
      </w:r>
    </w:p>
  </w:footnote>
  <w:footnote w:type="continuationSeparator" w:id="0">
    <w:p w14:paraId="3635208E" w14:textId="77777777" w:rsidR="0077745F" w:rsidRDefault="0077745F" w:rsidP="00532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3E876" w14:textId="77777777" w:rsidR="00772A80" w:rsidRDefault="00772A80" w:rsidP="00772A80">
    <w:pPr>
      <w:pStyle w:val="BasicParagraph"/>
      <w:spacing w:line="240" w:lineRule="auto"/>
      <w:ind w:left="7655"/>
      <w:rPr>
        <w:rFonts w:ascii="Tahoma" w:hAnsi="Tahoma" w:cs="Tahoma"/>
        <w:b/>
        <w:bCs/>
        <w:sz w:val="15"/>
        <w:szCs w:val="15"/>
      </w:rPr>
    </w:pPr>
    <w:bookmarkStart w:id="0" w:name="_Hlk28342994"/>
    <w:r>
      <w:rPr>
        <w:rFonts w:ascii="Tahoma" w:hAnsi="Tahoma"/>
        <w:b/>
        <w:noProof/>
        <w:sz w:val="15"/>
      </w:rPr>
      <w:drawing>
        <wp:anchor distT="0" distB="0" distL="114300" distR="114300" simplePos="0" relativeHeight="251656192" behindDoc="1" locked="0" layoutInCell="1" allowOverlap="1" wp14:anchorId="048F5BA3" wp14:editId="0ABB1CAA">
          <wp:simplePos x="0" y="0"/>
          <wp:positionH relativeFrom="margin">
            <wp:align>center</wp:align>
          </wp:positionH>
          <wp:positionV relativeFrom="paragraph">
            <wp:posOffset>-35560</wp:posOffset>
          </wp:positionV>
          <wp:extent cx="329223" cy="396000"/>
          <wp:effectExtent l="0" t="0" r="0" b="4445"/>
          <wp:wrapNone/>
          <wp:docPr id="9" name="Slika 9" descr="Slika, ki vsebuje besede izreze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samo grb 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23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p w14:paraId="3C99CCCF" w14:textId="77777777" w:rsidR="0053257C" w:rsidRDefault="0053257C" w:rsidP="00772A80">
    <w:pPr>
      <w:pStyle w:val="Glava"/>
      <w:tabs>
        <w:tab w:val="clear" w:pos="4536"/>
        <w:tab w:val="clear" w:pos="9072"/>
        <w:tab w:val="left" w:pos="8599"/>
      </w:tabs>
    </w:pPr>
  </w:p>
  <w:p w14:paraId="73530826" w14:textId="77777777" w:rsidR="00CD39D1" w:rsidRPr="00772A80" w:rsidRDefault="00CD39D1" w:rsidP="00772A80">
    <w:pPr>
      <w:pStyle w:val="Glava"/>
      <w:tabs>
        <w:tab w:val="clear" w:pos="4536"/>
        <w:tab w:val="clear" w:pos="9072"/>
        <w:tab w:val="left" w:pos="859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A136B" w14:textId="77777777" w:rsidR="00F926DF" w:rsidRDefault="00206C3E" w:rsidP="00A10140">
    <w:pPr>
      <w:pStyle w:val="BasicParagraph"/>
      <w:spacing w:line="168" w:lineRule="auto"/>
      <w:jc w:val="center"/>
      <w:rPr>
        <w:rFonts w:ascii="Tahoma" w:hAnsi="Tahoma" w:cs="Tahoma"/>
        <w:spacing w:val="1"/>
        <w:sz w:val="14"/>
        <w:szCs w:val="14"/>
      </w:rPr>
    </w:pPr>
    <w:r>
      <w:rPr>
        <w:rFonts w:ascii="Tahoma" w:hAnsi="Tahoma"/>
        <w:noProof/>
        <w:sz w:val="14"/>
      </w:rPr>
      <w:drawing>
        <wp:anchor distT="0" distB="0" distL="114300" distR="114300" simplePos="0" relativeHeight="251658240" behindDoc="1" locked="0" layoutInCell="1" allowOverlap="1" wp14:anchorId="3B45CBB2" wp14:editId="7FA43DDB">
          <wp:simplePos x="0" y="0"/>
          <wp:positionH relativeFrom="margin">
            <wp:posOffset>1438910</wp:posOffset>
          </wp:positionH>
          <wp:positionV relativeFrom="page">
            <wp:posOffset>237490</wp:posOffset>
          </wp:positionV>
          <wp:extent cx="2879090" cy="884555"/>
          <wp:effectExtent l="0" t="0" r="0" b="0"/>
          <wp:wrapTopAndBottom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za župa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9090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A7C044" w14:textId="77777777" w:rsidR="00F926DF" w:rsidRPr="00F926DF" w:rsidRDefault="00F926DF" w:rsidP="001E26DD">
    <w:pPr>
      <w:pStyle w:val="BasicParagraph"/>
      <w:ind w:left="-1418" w:right="-737"/>
      <w:jc w:val="center"/>
      <w:rPr>
        <w:rFonts w:ascii="Tahoma" w:hAnsi="Tahoma" w:cs="Tahoma"/>
        <w:spacing w:val="1"/>
        <w:sz w:val="14"/>
        <w:szCs w:val="14"/>
      </w:rPr>
    </w:pPr>
    <w:r>
      <w:rPr>
        <w:rFonts w:ascii="Tahoma" w:hAnsi="Tahoma"/>
        <w:sz w:val="14"/>
      </w:rPr>
      <w:t>KABINET ŽUPANA</w:t>
    </w:r>
    <w:r>
      <w:rPr>
        <w:rFonts w:ascii="Tahoma" w:hAnsi="Tahoma"/>
        <w:color w:val="AEAAAA" w:themeColor="background2" w:themeShade="BF"/>
        <w:sz w:val="14"/>
      </w:rPr>
      <w:t xml:space="preserve"> ׀</w:t>
    </w:r>
    <w:r>
      <w:rPr>
        <w:rFonts w:ascii="Tahoma" w:hAnsi="Tahoma"/>
        <w:color w:val="AEAAAA" w:themeColor="background2" w:themeShade="BF"/>
        <w:sz w:val="15"/>
      </w:rPr>
      <w:t xml:space="preserve"> </w:t>
    </w:r>
    <w:r>
      <w:rPr>
        <w:rFonts w:ascii="Tahoma" w:hAnsi="Tahoma"/>
        <w:sz w:val="14"/>
      </w:rPr>
      <w:t>GABINETTO DEL SINDACO</w:t>
    </w:r>
  </w:p>
  <w:p w14:paraId="6287ED15" w14:textId="77777777" w:rsidR="00777866" w:rsidRDefault="00777866" w:rsidP="00777866">
    <w:pPr>
      <w:pStyle w:val="BasicParagraph"/>
      <w:tabs>
        <w:tab w:val="left" w:pos="6705"/>
      </w:tabs>
      <w:spacing w:line="240" w:lineRule="auto"/>
      <w:ind w:left="-1418" w:right="-737"/>
      <w:jc w:val="center"/>
      <w:rPr>
        <w:rFonts w:ascii="Tahoma" w:hAnsi="Tahoma" w:cs="Tahoma"/>
        <w:b/>
        <w:bCs/>
        <w:sz w:val="15"/>
        <w:szCs w:val="15"/>
      </w:rPr>
    </w:pPr>
    <w:r>
      <w:rPr>
        <w:rFonts w:ascii="Tahoma" w:hAnsi="Tahoma"/>
        <w:sz w:val="14"/>
      </w:rPr>
      <w:t>Župan</w:t>
    </w:r>
    <w:r>
      <w:rPr>
        <w:rFonts w:ascii="Tahoma" w:hAnsi="Tahoma"/>
        <w:color w:val="AEAAAA" w:themeColor="background2" w:themeShade="BF"/>
        <w:sz w:val="14"/>
      </w:rPr>
      <w:t xml:space="preserve"> ׀</w:t>
    </w:r>
    <w:r>
      <w:rPr>
        <w:rFonts w:ascii="Tahoma" w:hAnsi="Tahoma"/>
        <w:color w:val="AEAAAA" w:themeColor="background2" w:themeShade="BF"/>
        <w:sz w:val="15"/>
      </w:rPr>
      <w:t xml:space="preserve"> </w:t>
    </w:r>
    <w:r>
      <w:rPr>
        <w:rFonts w:ascii="Tahoma" w:hAnsi="Tahoma"/>
        <w:sz w:val="14"/>
      </w:rPr>
      <w:t>Il sindaco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3CA"/>
    <w:multiLevelType w:val="hybridMultilevel"/>
    <w:tmpl w:val="8A2AE8AC"/>
    <w:lvl w:ilvl="0" w:tplc="3E4A18C4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A79F4"/>
    <w:multiLevelType w:val="hybridMultilevel"/>
    <w:tmpl w:val="382C6F20"/>
    <w:lvl w:ilvl="0" w:tplc="2D3CD8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21334"/>
    <w:multiLevelType w:val="hybridMultilevel"/>
    <w:tmpl w:val="96861562"/>
    <w:lvl w:ilvl="0" w:tplc="8674AFBE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D00FE"/>
    <w:multiLevelType w:val="hybridMultilevel"/>
    <w:tmpl w:val="1AE421FA"/>
    <w:lvl w:ilvl="0" w:tplc="698EC2C8">
      <w:start w:val="20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341147"/>
    <w:multiLevelType w:val="hybridMultilevel"/>
    <w:tmpl w:val="6EF66874"/>
    <w:lvl w:ilvl="0" w:tplc="7290A23C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13F12"/>
    <w:multiLevelType w:val="hybridMultilevel"/>
    <w:tmpl w:val="4B320F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16966"/>
    <w:multiLevelType w:val="hybridMultilevel"/>
    <w:tmpl w:val="E884D05C"/>
    <w:lvl w:ilvl="0" w:tplc="735C342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70621"/>
    <w:multiLevelType w:val="hybridMultilevel"/>
    <w:tmpl w:val="BE38DCBE"/>
    <w:lvl w:ilvl="0" w:tplc="D7F8027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1" w:hanging="360"/>
      </w:pPr>
    </w:lvl>
    <w:lvl w:ilvl="2" w:tplc="0424001B" w:tentative="1">
      <w:start w:val="1"/>
      <w:numFmt w:val="lowerRoman"/>
      <w:lvlText w:val="%3."/>
      <w:lvlJc w:val="right"/>
      <w:pPr>
        <w:ind w:left="1901" w:hanging="180"/>
      </w:pPr>
    </w:lvl>
    <w:lvl w:ilvl="3" w:tplc="0424000F" w:tentative="1">
      <w:start w:val="1"/>
      <w:numFmt w:val="decimal"/>
      <w:lvlText w:val="%4."/>
      <w:lvlJc w:val="left"/>
      <w:pPr>
        <w:ind w:left="2621" w:hanging="360"/>
      </w:pPr>
    </w:lvl>
    <w:lvl w:ilvl="4" w:tplc="04240019" w:tentative="1">
      <w:start w:val="1"/>
      <w:numFmt w:val="lowerLetter"/>
      <w:lvlText w:val="%5."/>
      <w:lvlJc w:val="left"/>
      <w:pPr>
        <w:ind w:left="3341" w:hanging="360"/>
      </w:pPr>
    </w:lvl>
    <w:lvl w:ilvl="5" w:tplc="0424001B" w:tentative="1">
      <w:start w:val="1"/>
      <w:numFmt w:val="lowerRoman"/>
      <w:lvlText w:val="%6."/>
      <w:lvlJc w:val="right"/>
      <w:pPr>
        <w:ind w:left="4061" w:hanging="180"/>
      </w:pPr>
    </w:lvl>
    <w:lvl w:ilvl="6" w:tplc="0424000F" w:tentative="1">
      <w:start w:val="1"/>
      <w:numFmt w:val="decimal"/>
      <w:lvlText w:val="%7."/>
      <w:lvlJc w:val="left"/>
      <w:pPr>
        <w:ind w:left="4781" w:hanging="360"/>
      </w:pPr>
    </w:lvl>
    <w:lvl w:ilvl="7" w:tplc="04240019" w:tentative="1">
      <w:start w:val="1"/>
      <w:numFmt w:val="lowerLetter"/>
      <w:lvlText w:val="%8."/>
      <w:lvlJc w:val="left"/>
      <w:pPr>
        <w:ind w:left="5501" w:hanging="360"/>
      </w:pPr>
    </w:lvl>
    <w:lvl w:ilvl="8" w:tplc="0424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8" w15:restartNumberingAfterBreak="0">
    <w:nsid w:val="43D50BC1"/>
    <w:multiLevelType w:val="hybridMultilevel"/>
    <w:tmpl w:val="3586B7CA"/>
    <w:lvl w:ilvl="0" w:tplc="DD28019C">
      <w:start w:val="1"/>
      <w:numFmt w:val="bullet"/>
      <w:lvlText w:val="-"/>
      <w:lvlJc w:val="left"/>
      <w:pPr>
        <w:ind w:left="821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9" w15:restartNumberingAfterBreak="0">
    <w:nsid w:val="4E402AD1"/>
    <w:multiLevelType w:val="hybridMultilevel"/>
    <w:tmpl w:val="1E200156"/>
    <w:lvl w:ilvl="0" w:tplc="698EC2C8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02878"/>
    <w:multiLevelType w:val="hybridMultilevel"/>
    <w:tmpl w:val="0A18AA88"/>
    <w:lvl w:ilvl="0" w:tplc="F9D893E4">
      <w:start w:val="6000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21D13"/>
    <w:multiLevelType w:val="hybridMultilevel"/>
    <w:tmpl w:val="3B50BD80"/>
    <w:lvl w:ilvl="0" w:tplc="6A1AE694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E07055"/>
    <w:multiLevelType w:val="hybridMultilevel"/>
    <w:tmpl w:val="3266E8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4715C"/>
    <w:multiLevelType w:val="hybridMultilevel"/>
    <w:tmpl w:val="B0C61982"/>
    <w:lvl w:ilvl="0" w:tplc="27E0022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444685075">
    <w:abstractNumId w:val="9"/>
  </w:num>
  <w:num w:numId="2" w16cid:durableId="1202741878">
    <w:abstractNumId w:val="12"/>
  </w:num>
  <w:num w:numId="3" w16cid:durableId="539367561">
    <w:abstractNumId w:val="3"/>
  </w:num>
  <w:num w:numId="4" w16cid:durableId="932980589">
    <w:abstractNumId w:val="1"/>
  </w:num>
  <w:num w:numId="5" w16cid:durableId="1619605514">
    <w:abstractNumId w:val="7"/>
  </w:num>
  <w:num w:numId="6" w16cid:durableId="1662271069">
    <w:abstractNumId w:val="8"/>
  </w:num>
  <w:num w:numId="7" w16cid:durableId="1229607057">
    <w:abstractNumId w:val="13"/>
  </w:num>
  <w:num w:numId="8" w16cid:durableId="1173690582">
    <w:abstractNumId w:val="2"/>
  </w:num>
  <w:num w:numId="9" w16cid:durableId="408620913">
    <w:abstractNumId w:val="6"/>
  </w:num>
  <w:num w:numId="10" w16cid:durableId="1185054232">
    <w:abstractNumId w:val="0"/>
  </w:num>
  <w:num w:numId="11" w16cid:durableId="239677142">
    <w:abstractNumId w:val="11"/>
  </w:num>
  <w:num w:numId="12" w16cid:durableId="428279678">
    <w:abstractNumId w:val="4"/>
  </w:num>
  <w:num w:numId="13" w16cid:durableId="1279725864">
    <w:abstractNumId w:val="10"/>
  </w:num>
  <w:num w:numId="14" w16cid:durableId="7846920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57C"/>
    <w:rsid w:val="00015DAD"/>
    <w:rsid w:val="000206AF"/>
    <w:rsid w:val="00026520"/>
    <w:rsid w:val="00047EAF"/>
    <w:rsid w:val="0005140C"/>
    <w:rsid w:val="0005328D"/>
    <w:rsid w:val="000554EF"/>
    <w:rsid w:val="0005586A"/>
    <w:rsid w:val="00057A85"/>
    <w:rsid w:val="00062BD7"/>
    <w:rsid w:val="0006434E"/>
    <w:rsid w:val="000646BB"/>
    <w:rsid w:val="000807EC"/>
    <w:rsid w:val="0008766C"/>
    <w:rsid w:val="00093E14"/>
    <w:rsid w:val="000A0951"/>
    <w:rsid w:val="000A6347"/>
    <w:rsid w:val="000B0AF1"/>
    <w:rsid w:val="000C7111"/>
    <w:rsid w:val="000C7AEF"/>
    <w:rsid w:val="000E2C9D"/>
    <w:rsid w:val="000E4AD2"/>
    <w:rsid w:val="000E66AC"/>
    <w:rsid w:val="000F03B4"/>
    <w:rsid w:val="000F14B6"/>
    <w:rsid w:val="000F29CC"/>
    <w:rsid w:val="000F2EC3"/>
    <w:rsid w:val="00101A1A"/>
    <w:rsid w:val="00106C21"/>
    <w:rsid w:val="001365AE"/>
    <w:rsid w:val="00137970"/>
    <w:rsid w:val="00140403"/>
    <w:rsid w:val="0014104A"/>
    <w:rsid w:val="00146E47"/>
    <w:rsid w:val="00160768"/>
    <w:rsid w:val="00163386"/>
    <w:rsid w:val="001871DD"/>
    <w:rsid w:val="0019541D"/>
    <w:rsid w:val="001A424F"/>
    <w:rsid w:val="001B74C3"/>
    <w:rsid w:val="001D52E2"/>
    <w:rsid w:val="001E0C14"/>
    <w:rsid w:val="001E26DD"/>
    <w:rsid w:val="001E3877"/>
    <w:rsid w:val="001E416D"/>
    <w:rsid w:val="001E4E42"/>
    <w:rsid w:val="001E547A"/>
    <w:rsid w:val="001F579C"/>
    <w:rsid w:val="00206C3E"/>
    <w:rsid w:val="00237883"/>
    <w:rsid w:val="00243406"/>
    <w:rsid w:val="00243422"/>
    <w:rsid w:val="00254E4E"/>
    <w:rsid w:val="00257A1B"/>
    <w:rsid w:val="00260952"/>
    <w:rsid w:val="002666F8"/>
    <w:rsid w:val="00270B46"/>
    <w:rsid w:val="00270D93"/>
    <w:rsid w:val="00281950"/>
    <w:rsid w:val="00287581"/>
    <w:rsid w:val="002A02FE"/>
    <w:rsid w:val="002A5015"/>
    <w:rsid w:val="002A602E"/>
    <w:rsid w:val="002B04E9"/>
    <w:rsid w:val="002B6350"/>
    <w:rsid w:val="002C0CA6"/>
    <w:rsid w:val="002C2D9A"/>
    <w:rsid w:val="002D184C"/>
    <w:rsid w:val="002D2ADC"/>
    <w:rsid w:val="002D4A06"/>
    <w:rsid w:val="002E28A8"/>
    <w:rsid w:val="002E3F2F"/>
    <w:rsid w:val="002F7D5A"/>
    <w:rsid w:val="0031499A"/>
    <w:rsid w:val="00321A30"/>
    <w:rsid w:val="00323186"/>
    <w:rsid w:val="003319C7"/>
    <w:rsid w:val="003368A2"/>
    <w:rsid w:val="003513A6"/>
    <w:rsid w:val="00352045"/>
    <w:rsid w:val="0035317B"/>
    <w:rsid w:val="00362CD6"/>
    <w:rsid w:val="0036314F"/>
    <w:rsid w:val="00363FFC"/>
    <w:rsid w:val="00365A62"/>
    <w:rsid w:val="0036639B"/>
    <w:rsid w:val="00370BDA"/>
    <w:rsid w:val="00380762"/>
    <w:rsid w:val="0038404A"/>
    <w:rsid w:val="0038579A"/>
    <w:rsid w:val="00385B96"/>
    <w:rsid w:val="003A1DBD"/>
    <w:rsid w:val="003B3CC9"/>
    <w:rsid w:val="003C1789"/>
    <w:rsid w:val="003C6AFF"/>
    <w:rsid w:val="003C7046"/>
    <w:rsid w:val="003D1FE5"/>
    <w:rsid w:val="003D49AF"/>
    <w:rsid w:val="003E1F46"/>
    <w:rsid w:val="003F00BE"/>
    <w:rsid w:val="003F0236"/>
    <w:rsid w:val="0040085D"/>
    <w:rsid w:val="00403586"/>
    <w:rsid w:val="00410B33"/>
    <w:rsid w:val="00410BF5"/>
    <w:rsid w:val="00420660"/>
    <w:rsid w:val="004244A8"/>
    <w:rsid w:val="00432465"/>
    <w:rsid w:val="00437B68"/>
    <w:rsid w:val="00450C22"/>
    <w:rsid w:val="004550F6"/>
    <w:rsid w:val="00456359"/>
    <w:rsid w:val="0046748C"/>
    <w:rsid w:val="0047147D"/>
    <w:rsid w:val="004814D1"/>
    <w:rsid w:val="004819AA"/>
    <w:rsid w:val="004B34C0"/>
    <w:rsid w:val="004B3EA1"/>
    <w:rsid w:val="004B46E7"/>
    <w:rsid w:val="004B6D04"/>
    <w:rsid w:val="004B6D87"/>
    <w:rsid w:val="004D0C60"/>
    <w:rsid w:val="004D0E81"/>
    <w:rsid w:val="004D4EA7"/>
    <w:rsid w:val="004F0BC5"/>
    <w:rsid w:val="005019AE"/>
    <w:rsid w:val="0051389F"/>
    <w:rsid w:val="00513F33"/>
    <w:rsid w:val="00521E51"/>
    <w:rsid w:val="00524BA4"/>
    <w:rsid w:val="00530AC5"/>
    <w:rsid w:val="00530FBD"/>
    <w:rsid w:val="0053257C"/>
    <w:rsid w:val="00533057"/>
    <w:rsid w:val="005563C2"/>
    <w:rsid w:val="00560658"/>
    <w:rsid w:val="00564620"/>
    <w:rsid w:val="005647F9"/>
    <w:rsid w:val="00565C41"/>
    <w:rsid w:val="005736F4"/>
    <w:rsid w:val="005750B9"/>
    <w:rsid w:val="005876B8"/>
    <w:rsid w:val="005A04B8"/>
    <w:rsid w:val="005A1135"/>
    <w:rsid w:val="005A46B8"/>
    <w:rsid w:val="005A6722"/>
    <w:rsid w:val="005B36D1"/>
    <w:rsid w:val="005B3D56"/>
    <w:rsid w:val="005C3C7C"/>
    <w:rsid w:val="005C574F"/>
    <w:rsid w:val="005D02E4"/>
    <w:rsid w:val="005D1F4B"/>
    <w:rsid w:val="005D7D3E"/>
    <w:rsid w:val="005E4D7A"/>
    <w:rsid w:val="005F49BF"/>
    <w:rsid w:val="005F4A9E"/>
    <w:rsid w:val="005F6A9D"/>
    <w:rsid w:val="0060215C"/>
    <w:rsid w:val="00602DBF"/>
    <w:rsid w:val="00605E1F"/>
    <w:rsid w:val="006060EF"/>
    <w:rsid w:val="00613590"/>
    <w:rsid w:val="0061526A"/>
    <w:rsid w:val="00622A4B"/>
    <w:rsid w:val="00623AF4"/>
    <w:rsid w:val="00625D55"/>
    <w:rsid w:val="00627866"/>
    <w:rsid w:val="00632551"/>
    <w:rsid w:val="00636B48"/>
    <w:rsid w:val="00637218"/>
    <w:rsid w:val="00653C5E"/>
    <w:rsid w:val="006559AF"/>
    <w:rsid w:val="00666A8C"/>
    <w:rsid w:val="0067277E"/>
    <w:rsid w:val="006808ED"/>
    <w:rsid w:val="00692E5F"/>
    <w:rsid w:val="00694DFE"/>
    <w:rsid w:val="00695AAD"/>
    <w:rsid w:val="006B0C75"/>
    <w:rsid w:val="006B6952"/>
    <w:rsid w:val="006C4D78"/>
    <w:rsid w:val="006D0D6B"/>
    <w:rsid w:val="006E622B"/>
    <w:rsid w:val="006F0C6B"/>
    <w:rsid w:val="00703BE8"/>
    <w:rsid w:val="007065F8"/>
    <w:rsid w:val="00706A8B"/>
    <w:rsid w:val="00732AD0"/>
    <w:rsid w:val="0074092F"/>
    <w:rsid w:val="007532D5"/>
    <w:rsid w:val="00756067"/>
    <w:rsid w:val="00762B66"/>
    <w:rsid w:val="00763F2C"/>
    <w:rsid w:val="00772A80"/>
    <w:rsid w:val="0077551E"/>
    <w:rsid w:val="0077745F"/>
    <w:rsid w:val="00777866"/>
    <w:rsid w:val="007974A0"/>
    <w:rsid w:val="007A1573"/>
    <w:rsid w:val="007A2ED9"/>
    <w:rsid w:val="007A4BCE"/>
    <w:rsid w:val="007B60D9"/>
    <w:rsid w:val="007B69D8"/>
    <w:rsid w:val="007F30FA"/>
    <w:rsid w:val="007F6910"/>
    <w:rsid w:val="00802C98"/>
    <w:rsid w:val="00826C96"/>
    <w:rsid w:val="00826D5A"/>
    <w:rsid w:val="00827111"/>
    <w:rsid w:val="00830D6E"/>
    <w:rsid w:val="00841766"/>
    <w:rsid w:val="008420F3"/>
    <w:rsid w:val="00842E6B"/>
    <w:rsid w:val="00843EB2"/>
    <w:rsid w:val="008577B5"/>
    <w:rsid w:val="008610FF"/>
    <w:rsid w:val="00862A73"/>
    <w:rsid w:val="008661F7"/>
    <w:rsid w:val="008744D3"/>
    <w:rsid w:val="0088123F"/>
    <w:rsid w:val="00891C4A"/>
    <w:rsid w:val="008970F3"/>
    <w:rsid w:val="008B294A"/>
    <w:rsid w:val="008D04B9"/>
    <w:rsid w:val="008D0DDE"/>
    <w:rsid w:val="008D1C13"/>
    <w:rsid w:val="008D44BA"/>
    <w:rsid w:val="008D7B7D"/>
    <w:rsid w:val="008E4446"/>
    <w:rsid w:val="008E468D"/>
    <w:rsid w:val="00901949"/>
    <w:rsid w:val="00903ACC"/>
    <w:rsid w:val="00906B6B"/>
    <w:rsid w:val="00910029"/>
    <w:rsid w:val="0091721A"/>
    <w:rsid w:val="00923B33"/>
    <w:rsid w:val="009329CB"/>
    <w:rsid w:val="00937FB0"/>
    <w:rsid w:val="00940207"/>
    <w:rsid w:val="009420CE"/>
    <w:rsid w:val="00947FC7"/>
    <w:rsid w:val="00953826"/>
    <w:rsid w:val="00957C6B"/>
    <w:rsid w:val="009772CE"/>
    <w:rsid w:val="00986CB4"/>
    <w:rsid w:val="009871C8"/>
    <w:rsid w:val="00990D8A"/>
    <w:rsid w:val="009914C2"/>
    <w:rsid w:val="0099201D"/>
    <w:rsid w:val="009A1DA5"/>
    <w:rsid w:val="009A7DC4"/>
    <w:rsid w:val="009B12F1"/>
    <w:rsid w:val="009C29AC"/>
    <w:rsid w:val="009E3878"/>
    <w:rsid w:val="009F23DA"/>
    <w:rsid w:val="00A034A6"/>
    <w:rsid w:val="00A03AD9"/>
    <w:rsid w:val="00A0540D"/>
    <w:rsid w:val="00A10140"/>
    <w:rsid w:val="00A14CCE"/>
    <w:rsid w:val="00A4077B"/>
    <w:rsid w:val="00A41698"/>
    <w:rsid w:val="00A52562"/>
    <w:rsid w:val="00A65137"/>
    <w:rsid w:val="00A70A2F"/>
    <w:rsid w:val="00A7103E"/>
    <w:rsid w:val="00A74EBC"/>
    <w:rsid w:val="00A8039E"/>
    <w:rsid w:val="00A86FF7"/>
    <w:rsid w:val="00A91EA0"/>
    <w:rsid w:val="00A93897"/>
    <w:rsid w:val="00A9456A"/>
    <w:rsid w:val="00A97481"/>
    <w:rsid w:val="00A97C3B"/>
    <w:rsid w:val="00AA6A03"/>
    <w:rsid w:val="00AB0467"/>
    <w:rsid w:val="00AB1C05"/>
    <w:rsid w:val="00AB336A"/>
    <w:rsid w:val="00AC2550"/>
    <w:rsid w:val="00AC5645"/>
    <w:rsid w:val="00AD1A46"/>
    <w:rsid w:val="00AD1CF4"/>
    <w:rsid w:val="00AD51B7"/>
    <w:rsid w:val="00AE175A"/>
    <w:rsid w:val="00AF29C4"/>
    <w:rsid w:val="00AF4148"/>
    <w:rsid w:val="00AF5DE2"/>
    <w:rsid w:val="00B04548"/>
    <w:rsid w:val="00B0705D"/>
    <w:rsid w:val="00B118F7"/>
    <w:rsid w:val="00B13C91"/>
    <w:rsid w:val="00B153FF"/>
    <w:rsid w:val="00B21B4F"/>
    <w:rsid w:val="00B223E5"/>
    <w:rsid w:val="00B2311C"/>
    <w:rsid w:val="00B262F0"/>
    <w:rsid w:val="00B31B84"/>
    <w:rsid w:val="00B31EB4"/>
    <w:rsid w:val="00B33902"/>
    <w:rsid w:val="00B36121"/>
    <w:rsid w:val="00B40846"/>
    <w:rsid w:val="00B544ED"/>
    <w:rsid w:val="00B55493"/>
    <w:rsid w:val="00B608CE"/>
    <w:rsid w:val="00B65F0B"/>
    <w:rsid w:val="00B70FA4"/>
    <w:rsid w:val="00B772EC"/>
    <w:rsid w:val="00B83E53"/>
    <w:rsid w:val="00B91B11"/>
    <w:rsid w:val="00B939A8"/>
    <w:rsid w:val="00BA335C"/>
    <w:rsid w:val="00BA47F9"/>
    <w:rsid w:val="00BA5481"/>
    <w:rsid w:val="00BA5B75"/>
    <w:rsid w:val="00BB4C13"/>
    <w:rsid w:val="00BB7965"/>
    <w:rsid w:val="00BD272D"/>
    <w:rsid w:val="00BE01F9"/>
    <w:rsid w:val="00BE03BC"/>
    <w:rsid w:val="00BE3D44"/>
    <w:rsid w:val="00BF5C4F"/>
    <w:rsid w:val="00C049DF"/>
    <w:rsid w:val="00C0544D"/>
    <w:rsid w:val="00C0799B"/>
    <w:rsid w:val="00C25DD8"/>
    <w:rsid w:val="00C31C85"/>
    <w:rsid w:val="00C334AD"/>
    <w:rsid w:val="00C37B7C"/>
    <w:rsid w:val="00C52364"/>
    <w:rsid w:val="00C6464B"/>
    <w:rsid w:val="00C66A23"/>
    <w:rsid w:val="00C6790D"/>
    <w:rsid w:val="00C91D12"/>
    <w:rsid w:val="00C9245E"/>
    <w:rsid w:val="00CA1A16"/>
    <w:rsid w:val="00CA3E16"/>
    <w:rsid w:val="00CA44E7"/>
    <w:rsid w:val="00CA4ECE"/>
    <w:rsid w:val="00CA5909"/>
    <w:rsid w:val="00CB2D09"/>
    <w:rsid w:val="00CB5328"/>
    <w:rsid w:val="00CC09EA"/>
    <w:rsid w:val="00CC17EB"/>
    <w:rsid w:val="00CD2B81"/>
    <w:rsid w:val="00CD39D1"/>
    <w:rsid w:val="00CD3C6C"/>
    <w:rsid w:val="00CD5E4F"/>
    <w:rsid w:val="00CD7995"/>
    <w:rsid w:val="00CE102A"/>
    <w:rsid w:val="00CE2302"/>
    <w:rsid w:val="00CE7286"/>
    <w:rsid w:val="00CF1DF8"/>
    <w:rsid w:val="00CF72DB"/>
    <w:rsid w:val="00CF75AE"/>
    <w:rsid w:val="00D02E95"/>
    <w:rsid w:val="00D327D3"/>
    <w:rsid w:val="00D34E49"/>
    <w:rsid w:val="00D363CB"/>
    <w:rsid w:val="00D3660D"/>
    <w:rsid w:val="00D37E95"/>
    <w:rsid w:val="00D428D2"/>
    <w:rsid w:val="00D438A2"/>
    <w:rsid w:val="00D55481"/>
    <w:rsid w:val="00D56243"/>
    <w:rsid w:val="00D62485"/>
    <w:rsid w:val="00D73C75"/>
    <w:rsid w:val="00D740AE"/>
    <w:rsid w:val="00D833CA"/>
    <w:rsid w:val="00D8607E"/>
    <w:rsid w:val="00D970A8"/>
    <w:rsid w:val="00DA514D"/>
    <w:rsid w:val="00DB26F9"/>
    <w:rsid w:val="00DB5F09"/>
    <w:rsid w:val="00DC198F"/>
    <w:rsid w:val="00DC354C"/>
    <w:rsid w:val="00DC3DD0"/>
    <w:rsid w:val="00DD41A1"/>
    <w:rsid w:val="00DD7C3C"/>
    <w:rsid w:val="00E31B6F"/>
    <w:rsid w:val="00E37E15"/>
    <w:rsid w:val="00E4263D"/>
    <w:rsid w:val="00E7146E"/>
    <w:rsid w:val="00E74DEB"/>
    <w:rsid w:val="00E82962"/>
    <w:rsid w:val="00E83A95"/>
    <w:rsid w:val="00E83EAB"/>
    <w:rsid w:val="00E8631E"/>
    <w:rsid w:val="00E86B33"/>
    <w:rsid w:val="00E935EC"/>
    <w:rsid w:val="00E93FE9"/>
    <w:rsid w:val="00E9623F"/>
    <w:rsid w:val="00EA0E95"/>
    <w:rsid w:val="00EA1131"/>
    <w:rsid w:val="00EA1E8F"/>
    <w:rsid w:val="00EB2362"/>
    <w:rsid w:val="00EB4FB1"/>
    <w:rsid w:val="00ED0214"/>
    <w:rsid w:val="00ED0F15"/>
    <w:rsid w:val="00ED3261"/>
    <w:rsid w:val="00EE320D"/>
    <w:rsid w:val="00EE49DF"/>
    <w:rsid w:val="00EE6FF4"/>
    <w:rsid w:val="00EF52B9"/>
    <w:rsid w:val="00EF6A4F"/>
    <w:rsid w:val="00F0221A"/>
    <w:rsid w:val="00F05F4F"/>
    <w:rsid w:val="00F119A8"/>
    <w:rsid w:val="00F12892"/>
    <w:rsid w:val="00F30EFD"/>
    <w:rsid w:val="00F40174"/>
    <w:rsid w:val="00F418F1"/>
    <w:rsid w:val="00F53CB4"/>
    <w:rsid w:val="00F55DA8"/>
    <w:rsid w:val="00F55E50"/>
    <w:rsid w:val="00F63FEF"/>
    <w:rsid w:val="00F84E83"/>
    <w:rsid w:val="00F87121"/>
    <w:rsid w:val="00F926DF"/>
    <w:rsid w:val="00FA05C7"/>
    <w:rsid w:val="00FA1E50"/>
    <w:rsid w:val="00FA2274"/>
    <w:rsid w:val="00FC6A66"/>
    <w:rsid w:val="00FD2796"/>
    <w:rsid w:val="00FD736C"/>
    <w:rsid w:val="00FE0B8E"/>
    <w:rsid w:val="00FF3C4A"/>
    <w:rsid w:val="00FF5D6D"/>
    <w:rsid w:val="00FF5FCA"/>
    <w:rsid w:val="00FF68C4"/>
    <w:rsid w:val="00FF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E72D5D"/>
  <w15:chartTrackingRefBased/>
  <w15:docId w15:val="{2ED5C5E9-9437-49BD-A73A-8225F01E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lock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3257C"/>
  </w:style>
  <w:style w:type="paragraph" w:styleId="Noga">
    <w:name w:val="footer"/>
    <w:basedOn w:val="Navaden"/>
    <w:link w:val="NogaZnak"/>
    <w:uiPriority w:val="99"/>
    <w:unhideWhenUsed/>
    <w:locked/>
    <w:rsid w:val="005325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3257C"/>
  </w:style>
  <w:style w:type="paragraph" w:customStyle="1" w:styleId="NoParagraphStyle">
    <w:name w:val="[No Paragraph Style]"/>
    <w:locked/>
    <w:rsid w:val="0053257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locked/>
    <w:rsid w:val="0053257C"/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D5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1B7"/>
    <w:rPr>
      <w:rFonts w:ascii="Segoe UI" w:hAnsi="Segoe UI" w:cs="Segoe UI"/>
      <w:sz w:val="18"/>
      <w:szCs w:val="18"/>
    </w:rPr>
  </w:style>
  <w:style w:type="paragraph" w:customStyle="1" w:styleId="Tahoma">
    <w:name w:val="Tahoma"/>
    <w:basedOn w:val="Navaden"/>
    <w:link w:val="TahomaZnak"/>
    <w:qFormat/>
    <w:rsid w:val="00257A1B"/>
    <w:pPr>
      <w:spacing w:after="30"/>
    </w:pPr>
    <w:rPr>
      <w:rFonts w:ascii="Tahoma" w:hAnsi="Tahoma" w:cs="Tahoma"/>
      <w:sz w:val="20"/>
    </w:rPr>
  </w:style>
  <w:style w:type="paragraph" w:customStyle="1" w:styleId="TAHOMA2">
    <w:name w:val="TAHOMA 2"/>
    <w:basedOn w:val="Tahoma"/>
    <w:link w:val="TAHOMA2Znak"/>
    <w:qFormat/>
    <w:rsid w:val="00257A1B"/>
    <w:rPr>
      <w:sz w:val="14"/>
      <w:szCs w:val="14"/>
    </w:rPr>
  </w:style>
  <w:style w:type="character" w:customStyle="1" w:styleId="TahomaZnak">
    <w:name w:val="Tahoma Znak"/>
    <w:basedOn w:val="Privzetapisavaodstavka"/>
    <w:link w:val="Tahoma"/>
    <w:rsid w:val="00257A1B"/>
    <w:rPr>
      <w:rFonts w:ascii="Tahoma" w:hAnsi="Tahoma" w:cs="Tahoma"/>
      <w:sz w:val="20"/>
    </w:rPr>
  </w:style>
  <w:style w:type="character" w:customStyle="1" w:styleId="TAHOMA2Znak">
    <w:name w:val="TAHOMA 2 Znak"/>
    <w:basedOn w:val="TahomaZnak"/>
    <w:link w:val="TAHOMA2"/>
    <w:rsid w:val="00257A1B"/>
    <w:rPr>
      <w:rFonts w:ascii="Tahoma" w:hAnsi="Tahoma" w:cs="Tahoma"/>
      <w:sz w:val="14"/>
      <w:szCs w:val="14"/>
    </w:rPr>
  </w:style>
  <w:style w:type="character" w:styleId="Besedilooznabemesta">
    <w:name w:val="Placeholder Text"/>
    <w:basedOn w:val="Privzetapisavaodstavka"/>
    <w:uiPriority w:val="99"/>
    <w:semiHidden/>
    <w:locked/>
    <w:rsid w:val="000F2EC3"/>
    <w:rPr>
      <w:color w:val="808080"/>
    </w:rPr>
  </w:style>
  <w:style w:type="paragraph" w:styleId="Odstavekseznama">
    <w:name w:val="List Paragraph"/>
    <w:basedOn w:val="Navaden"/>
    <w:uiPriority w:val="34"/>
    <w:qFormat/>
    <w:locked/>
    <w:rsid w:val="007F30FA"/>
    <w:pPr>
      <w:ind w:left="720"/>
      <w:contextualSpacing/>
    </w:pPr>
  </w:style>
  <w:style w:type="paragraph" w:styleId="Revizija">
    <w:name w:val="Revision"/>
    <w:hidden/>
    <w:uiPriority w:val="99"/>
    <w:semiHidden/>
    <w:rsid w:val="00363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9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27D915AE3D9240B690C9641DB570AF" ma:contentTypeVersion="2" ma:contentTypeDescription="Ustvari nov dokument." ma:contentTypeScope="" ma:versionID="0cf879f0f6aadb14f39a5048babd9617">
  <xsd:schema xmlns:xsd="http://www.w3.org/2001/XMLSchema" xmlns:xs="http://www.w3.org/2001/XMLSchema" xmlns:p="http://schemas.microsoft.com/office/2006/metadata/properties" xmlns:ns2="c20c8cab-a0e2-4345-a0b5-3501db6a0730" targetNamespace="http://schemas.microsoft.com/office/2006/metadata/properties" ma:root="true" ma:fieldsID="37481844869797c7ea73aa6e2f50b849" ns2:_="">
    <xsd:import namespace="c20c8cab-a0e2-4345-a0b5-3501db6a0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c8cab-a0e2-4345-a0b5-3501db6a0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C84E8C-C5E8-4355-81F4-55D68848DE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90360-B491-400B-B166-DFC4D53CC5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3C7C72-B776-4837-A3EA-3D5D81A41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0c8cab-a0e2-4345-a0b5-3501db6a0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0F7CF8-F926-44AC-952F-51D42A09A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Aktiv PR</dc:creator>
  <cp:keywords/>
  <dc:description/>
  <cp:lastModifiedBy>Linda Rotter Pribac</cp:lastModifiedBy>
  <cp:revision>9</cp:revision>
  <cp:lastPrinted>2021-12-29T12:17:00Z</cp:lastPrinted>
  <dcterms:created xsi:type="dcterms:W3CDTF">2026-01-20T07:54:00Z</dcterms:created>
  <dcterms:modified xsi:type="dcterms:W3CDTF">2026-01-20T14:05:00Z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0x0101009927D915AE3D9240B690C9641DB570AF</vt:lpwstr>
  </property>
</Properties>
</file>